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2FC4" w14:textId="77777777" w:rsidR="009C7FC9" w:rsidRDefault="00F35B32" w:rsidP="00F35B32">
      <w:pPr>
        <w:pStyle w:val="Heading1"/>
        <w:jc w:val="center"/>
      </w:pPr>
      <w:r>
        <w:t>Class 3 Valuation Objections</w:t>
      </w:r>
    </w:p>
    <w:p w14:paraId="491144F9" w14:textId="15725EDC" w:rsidR="00F35B32" w:rsidRDefault="009C7FC9" w:rsidP="00F35B32">
      <w:pPr>
        <w:pStyle w:val="Heading1"/>
        <w:jc w:val="center"/>
      </w:pPr>
      <w:r>
        <w:t xml:space="preserve">Schedule B Part </w:t>
      </w:r>
      <w:r w:rsidR="00402D70">
        <w:t>2</w:t>
      </w:r>
      <w:r>
        <w:t xml:space="preserve"> – </w:t>
      </w:r>
      <w:r w:rsidR="00402D70">
        <w:t>Second</w:t>
      </w:r>
      <w:r>
        <w:t xml:space="preserve"> Directions</w:t>
      </w:r>
      <w:r w:rsidR="00C06DB3">
        <w:t xml:space="preserve"> Hearing</w:t>
      </w:r>
    </w:p>
    <w:tbl>
      <w:tblPr>
        <w:tblW w:w="9072" w:type="dxa"/>
        <w:jc w:val="center"/>
        <w:tblLook w:val="00A0" w:firstRow="1" w:lastRow="0" w:firstColumn="1" w:lastColumn="0" w:noHBand="0" w:noVBand="0"/>
      </w:tblPr>
      <w:tblGrid>
        <w:gridCol w:w="3306"/>
        <w:gridCol w:w="5766"/>
      </w:tblGrid>
      <w:tr w:rsidR="00F35B32" w14:paraId="4AE7DD68" w14:textId="77777777" w:rsidTr="008A0E5E">
        <w:trPr>
          <w:cantSplit/>
          <w:jc w:val="center"/>
        </w:trPr>
        <w:tc>
          <w:tcPr>
            <w:tcW w:w="9072" w:type="dxa"/>
            <w:gridSpan w:val="2"/>
            <w:shd w:val="clear" w:color="auto" w:fill="D9D9D9"/>
          </w:tcPr>
          <w:p w14:paraId="368FEF9B" w14:textId="77777777" w:rsidR="00F35B32" w:rsidRDefault="00F35B32" w:rsidP="008A0E5E">
            <w:pPr>
              <w:keepNext/>
              <w:spacing w:line="240" w:lineRule="auto"/>
              <w:rPr>
                <w:b/>
              </w:rPr>
            </w:pPr>
            <w:r>
              <w:rPr>
                <w:b/>
              </w:rPr>
              <w:t>COURT DETAILS</w:t>
            </w:r>
          </w:p>
        </w:tc>
      </w:tr>
      <w:tr w:rsidR="00F35B32" w14:paraId="18DBB4FC" w14:textId="77777777" w:rsidTr="008A0E5E">
        <w:trPr>
          <w:cantSplit/>
          <w:jc w:val="center"/>
        </w:trPr>
        <w:tc>
          <w:tcPr>
            <w:tcW w:w="3306" w:type="dxa"/>
          </w:tcPr>
          <w:p w14:paraId="3C25BF4A" w14:textId="77777777" w:rsidR="00F35B32" w:rsidRDefault="00F35B32" w:rsidP="008A0E5E">
            <w:pPr>
              <w:spacing w:before="60" w:after="60" w:line="240" w:lineRule="auto"/>
            </w:pPr>
            <w:r>
              <w:t>Court</w:t>
            </w:r>
          </w:p>
        </w:tc>
        <w:tc>
          <w:tcPr>
            <w:tcW w:w="5766" w:type="dxa"/>
          </w:tcPr>
          <w:p w14:paraId="0F2851ED" w14:textId="77777777" w:rsidR="00F35B32" w:rsidRDefault="00F35B32" w:rsidP="008A0E5E">
            <w:pPr>
              <w:spacing w:before="60" w:after="60" w:line="240" w:lineRule="auto"/>
            </w:pPr>
            <w:r>
              <w:t>Land and Environment Court of New South Wales</w:t>
            </w:r>
          </w:p>
        </w:tc>
      </w:tr>
      <w:tr w:rsidR="00F35B32" w14:paraId="467BE6E1" w14:textId="77777777" w:rsidTr="008A0E5E">
        <w:trPr>
          <w:cantSplit/>
          <w:jc w:val="center"/>
        </w:trPr>
        <w:tc>
          <w:tcPr>
            <w:tcW w:w="3306" w:type="dxa"/>
          </w:tcPr>
          <w:p w14:paraId="3FBAF0C1" w14:textId="77777777" w:rsidR="00F35B32" w:rsidRDefault="00F35B32" w:rsidP="008A0E5E">
            <w:pPr>
              <w:spacing w:before="60" w:after="60" w:line="240" w:lineRule="auto"/>
            </w:pPr>
            <w:r>
              <w:t>Class</w:t>
            </w:r>
          </w:p>
        </w:tc>
        <w:tc>
          <w:tcPr>
            <w:tcW w:w="5766" w:type="dxa"/>
          </w:tcPr>
          <w:p w14:paraId="01B2E15A" w14:textId="77777777" w:rsidR="00F35B32" w:rsidRDefault="00F35B32" w:rsidP="008A0E5E">
            <w:pPr>
              <w:spacing w:before="60" w:after="60" w:line="240" w:lineRule="auto"/>
            </w:pPr>
            <w:r>
              <w:t>3 – Valuation Objections</w:t>
            </w:r>
          </w:p>
        </w:tc>
      </w:tr>
      <w:tr w:rsidR="00F35B32" w14:paraId="018F64BA" w14:textId="77777777" w:rsidTr="008A0E5E">
        <w:trPr>
          <w:cantSplit/>
          <w:jc w:val="center"/>
        </w:trPr>
        <w:tc>
          <w:tcPr>
            <w:tcW w:w="3306" w:type="dxa"/>
          </w:tcPr>
          <w:p w14:paraId="1A550D86" w14:textId="77777777" w:rsidR="00F35B32" w:rsidRDefault="00F35B32" w:rsidP="008A0E5E">
            <w:pPr>
              <w:spacing w:before="60" w:after="60" w:line="240" w:lineRule="auto"/>
            </w:pPr>
            <w:r>
              <w:t>Case number</w:t>
            </w:r>
          </w:p>
        </w:tc>
        <w:tc>
          <w:tcPr>
            <w:tcW w:w="5766" w:type="dxa"/>
          </w:tcPr>
          <w:p w14:paraId="4BF4989C" w14:textId="77777777" w:rsidR="00F35B32" w:rsidRDefault="00F35B32" w:rsidP="008A0E5E">
            <w:pPr>
              <w:spacing w:before="60" w:after="60" w:line="240" w:lineRule="auto"/>
            </w:pPr>
          </w:p>
        </w:tc>
      </w:tr>
      <w:tr w:rsidR="00F35B32" w14:paraId="332110D9" w14:textId="77777777" w:rsidTr="008A0E5E">
        <w:trPr>
          <w:cantSplit/>
          <w:jc w:val="center"/>
        </w:trPr>
        <w:tc>
          <w:tcPr>
            <w:tcW w:w="9072" w:type="dxa"/>
            <w:gridSpan w:val="2"/>
            <w:shd w:val="clear" w:color="auto" w:fill="D9D9D9"/>
          </w:tcPr>
          <w:p w14:paraId="7517F50E" w14:textId="77777777" w:rsidR="00F35B32" w:rsidRDefault="00F35B32" w:rsidP="008A0E5E">
            <w:pPr>
              <w:keepNext/>
              <w:spacing w:line="240" w:lineRule="auto"/>
              <w:rPr>
                <w:b/>
              </w:rPr>
            </w:pPr>
            <w:r>
              <w:rPr>
                <w:b/>
              </w:rPr>
              <w:t>TITLE OF PROCEEDINGS</w:t>
            </w:r>
          </w:p>
        </w:tc>
      </w:tr>
      <w:tr w:rsidR="00F35B32" w14:paraId="7A6D328C" w14:textId="77777777" w:rsidTr="008A0E5E">
        <w:trPr>
          <w:cantSplit/>
          <w:jc w:val="center"/>
        </w:trPr>
        <w:tc>
          <w:tcPr>
            <w:tcW w:w="3306" w:type="dxa"/>
          </w:tcPr>
          <w:p w14:paraId="16903677" w14:textId="77777777" w:rsidR="00F35B32" w:rsidRDefault="00F35B32" w:rsidP="008A0E5E">
            <w:pPr>
              <w:spacing w:before="60" w:after="60" w:line="240" w:lineRule="auto"/>
            </w:pPr>
            <w:r>
              <w:t>[First] applicant</w:t>
            </w:r>
          </w:p>
        </w:tc>
        <w:tc>
          <w:tcPr>
            <w:tcW w:w="5766" w:type="dxa"/>
          </w:tcPr>
          <w:p w14:paraId="358640B5" w14:textId="77777777" w:rsidR="00F35B32" w:rsidRDefault="00F35B32" w:rsidP="008A0E5E">
            <w:pPr>
              <w:spacing w:before="60" w:after="60" w:line="240" w:lineRule="auto"/>
              <w:rPr>
                <w:b/>
              </w:rPr>
            </w:pPr>
            <w:r>
              <w:rPr>
                <w:b/>
              </w:rPr>
              <w:t>[name]</w:t>
            </w:r>
          </w:p>
        </w:tc>
      </w:tr>
      <w:tr w:rsidR="00F35B32" w14:paraId="7190A882" w14:textId="77777777" w:rsidTr="008A0E5E">
        <w:trPr>
          <w:cantSplit/>
          <w:jc w:val="center"/>
        </w:trPr>
        <w:tc>
          <w:tcPr>
            <w:tcW w:w="3306" w:type="dxa"/>
          </w:tcPr>
          <w:p w14:paraId="4A391A0C" w14:textId="77777777" w:rsidR="00F35B32" w:rsidRDefault="00F35B32" w:rsidP="008A0E5E">
            <w:pPr>
              <w:spacing w:before="60" w:after="60" w:line="240" w:lineRule="auto"/>
            </w:pPr>
            <w:r>
              <w:t>#Second applicant #Number of applicants (if more than two)</w:t>
            </w:r>
          </w:p>
        </w:tc>
        <w:tc>
          <w:tcPr>
            <w:tcW w:w="5766" w:type="dxa"/>
          </w:tcPr>
          <w:p w14:paraId="0BA91B80" w14:textId="77777777" w:rsidR="00F35B32" w:rsidRDefault="00F35B32" w:rsidP="008A0E5E">
            <w:pPr>
              <w:spacing w:before="60" w:after="60" w:line="240" w:lineRule="auto"/>
            </w:pPr>
          </w:p>
        </w:tc>
      </w:tr>
      <w:tr w:rsidR="00F35B32" w14:paraId="39A57971" w14:textId="77777777" w:rsidTr="008A0E5E">
        <w:trPr>
          <w:cantSplit/>
          <w:jc w:val="center"/>
        </w:trPr>
        <w:tc>
          <w:tcPr>
            <w:tcW w:w="3306" w:type="dxa"/>
          </w:tcPr>
          <w:p w14:paraId="559D671B" w14:textId="77777777" w:rsidR="00F35B32" w:rsidRDefault="00F35B32" w:rsidP="008A0E5E">
            <w:pPr>
              <w:spacing w:before="0" w:after="0" w:line="240" w:lineRule="auto"/>
            </w:pPr>
          </w:p>
        </w:tc>
        <w:tc>
          <w:tcPr>
            <w:tcW w:w="5766" w:type="dxa"/>
          </w:tcPr>
          <w:p w14:paraId="12895599" w14:textId="77777777" w:rsidR="00F35B32" w:rsidRDefault="00F35B32" w:rsidP="008A0E5E">
            <w:pPr>
              <w:spacing w:before="0" w:after="0" w:line="240" w:lineRule="auto"/>
            </w:pPr>
          </w:p>
        </w:tc>
      </w:tr>
      <w:tr w:rsidR="00F35B32" w14:paraId="2F197694" w14:textId="77777777" w:rsidTr="008A0E5E">
        <w:trPr>
          <w:cantSplit/>
          <w:jc w:val="center"/>
        </w:trPr>
        <w:tc>
          <w:tcPr>
            <w:tcW w:w="3306" w:type="dxa"/>
          </w:tcPr>
          <w:p w14:paraId="1C30B9FF" w14:textId="77777777" w:rsidR="00F35B32" w:rsidRDefault="00F35B32" w:rsidP="008A0E5E">
            <w:pPr>
              <w:spacing w:before="60" w:after="60" w:line="240" w:lineRule="auto"/>
            </w:pPr>
            <w:r>
              <w:t>[First] respondent</w:t>
            </w:r>
          </w:p>
        </w:tc>
        <w:tc>
          <w:tcPr>
            <w:tcW w:w="5766" w:type="dxa"/>
          </w:tcPr>
          <w:p w14:paraId="145C2C3A" w14:textId="77777777" w:rsidR="00F35B32" w:rsidRDefault="00F35B32" w:rsidP="008A0E5E">
            <w:pPr>
              <w:spacing w:before="60" w:after="60" w:line="240" w:lineRule="auto"/>
              <w:rPr>
                <w:b/>
              </w:rPr>
            </w:pPr>
            <w:r>
              <w:rPr>
                <w:b/>
              </w:rPr>
              <w:t>[name]</w:t>
            </w:r>
          </w:p>
        </w:tc>
      </w:tr>
      <w:tr w:rsidR="00F35B32" w14:paraId="02219A07" w14:textId="77777777" w:rsidTr="008A0E5E">
        <w:trPr>
          <w:cantSplit/>
          <w:jc w:val="center"/>
        </w:trPr>
        <w:tc>
          <w:tcPr>
            <w:tcW w:w="3306" w:type="dxa"/>
          </w:tcPr>
          <w:p w14:paraId="7EE6C682" w14:textId="77777777" w:rsidR="00F35B32" w:rsidRDefault="00F35B32" w:rsidP="008A0E5E">
            <w:pPr>
              <w:spacing w:before="60" w:after="60" w:line="240" w:lineRule="auto"/>
            </w:pPr>
            <w:r>
              <w:t>#Second respondent #Number of respondents (if more than two)</w:t>
            </w:r>
          </w:p>
        </w:tc>
        <w:tc>
          <w:tcPr>
            <w:tcW w:w="5766" w:type="dxa"/>
          </w:tcPr>
          <w:p w14:paraId="765A52A6" w14:textId="77777777" w:rsidR="00F35B32" w:rsidRDefault="00F35B32" w:rsidP="008A0E5E">
            <w:pPr>
              <w:spacing w:before="60" w:after="60" w:line="240" w:lineRule="auto"/>
            </w:pPr>
          </w:p>
        </w:tc>
      </w:tr>
      <w:tr w:rsidR="00F35B32" w14:paraId="59A346DF"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5E1EAB6C" w14:textId="77777777" w:rsidR="00F35B32" w:rsidRDefault="00F35B32" w:rsidP="008A0E5E">
            <w:pPr>
              <w:keepNext/>
              <w:spacing w:line="240" w:lineRule="auto"/>
              <w:rPr>
                <w:b/>
              </w:rPr>
            </w:pPr>
            <w:r>
              <w:rPr>
                <w:rFonts w:cs="Arial"/>
                <w:b/>
                <w:bCs/>
              </w:rPr>
              <w:t>[#FILING #ISSUING #PREPARATION] DETAILS</w:t>
            </w:r>
          </w:p>
        </w:tc>
      </w:tr>
      <w:tr w:rsidR="00F35B32" w14:paraId="034A9BBF"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7E2B46C" w14:textId="77777777" w:rsidR="00F35B32" w:rsidRDefault="00F35B32" w:rsidP="008A0E5E">
            <w:pPr>
              <w:spacing w:before="60" w:after="60" w:line="240" w:lineRule="auto"/>
              <w:rPr>
                <w:szCs w:val="22"/>
              </w:rPr>
            </w:pPr>
            <w:r>
              <w:rPr>
                <w:szCs w:val="22"/>
              </w:rPr>
              <w:t>[#Filed #Issued #Prepared] for</w:t>
            </w:r>
          </w:p>
        </w:tc>
        <w:tc>
          <w:tcPr>
            <w:tcW w:w="5766" w:type="dxa"/>
            <w:tcBorders>
              <w:top w:val="nil"/>
              <w:left w:val="nil"/>
              <w:bottom w:val="nil"/>
              <w:right w:val="nil"/>
            </w:tcBorders>
          </w:tcPr>
          <w:p w14:paraId="7F308426" w14:textId="77777777" w:rsidR="00F35B32" w:rsidRDefault="00F35B32" w:rsidP="008A0E5E">
            <w:pPr>
              <w:spacing w:before="60" w:after="60" w:line="240" w:lineRule="auto"/>
              <w:rPr>
                <w:szCs w:val="22"/>
              </w:rPr>
            </w:pPr>
            <w:r>
              <w:rPr>
                <w:b/>
                <w:szCs w:val="22"/>
              </w:rPr>
              <w:t>[name]</w:t>
            </w:r>
            <w:r>
              <w:rPr>
                <w:szCs w:val="22"/>
              </w:rPr>
              <w:t xml:space="preserve"> [role of party eg applicant]</w:t>
            </w:r>
          </w:p>
        </w:tc>
      </w:tr>
      <w:tr w:rsidR="00F35B32" w14:paraId="3CB008A5"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0459E44" w14:textId="77777777" w:rsidR="00F35B32" w:rsidRDefault="00F35B32" w:rsidP="008A0E5E">
            <w:pPr>
              <w:spacing w:before="60" w:after="60" w:line="240" w:lineRule="auto"/>
              <w:rPr>
                <w:szCs w:val="22"/>
              </w:rPr>
            </w:pPr>
            <w:r>
              <w:rPr>
                <w:szCs w:val="22"/>
              </w:rPr>
              <w:t>#Legal representative</w:t>
            </w:r>
          </w:p>
        </w:tc>
        <w:tc>
          <w:tcPr>
            <w:tcW w:w="5766" w:type="dxa"/>
            <w:tcBorders>
              <w:top w:val="nil"/>
              <w:left w:val="nil"/>
              <w:bottom w:val="nil"/>
              <w:right w:val="nil"/>
            </w:tcBorders>
          </w:tcPr>
          <w:p w14:paraId="69D5732A" w14:textId="77777777" w:rsidR="00F35B32" w:rsidRDefault="00F35B32" w:rsidP="008A0E5E">
            <w:pPr>
              <w:spacing w:before="60" w:after="60" w:line="240" w:lineRule="auto"/>
              <w:rPr>
                <w:szCs w:val="22"/>
              </w:rPr>
            </w:pPr>
            <w:r>
              <w:rPr>
                <w:szCs w:val="22"/>
              </w:rPr>
              <w:t>[solicitor on record] [firm]</w:t>
            </w:r>
          </w:p>
        </w:tc>
      </w:tr>
      <w:tr w:rsidR="00F35B32" w14:paraId="233EBD58"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48487B7B" w14:textId="77777777" w:rsidR="00F35B32" w:rsidRDefault="00F35B32" w:rsidP="008A0E5E">
            <w:pPr>
              <w:spacing w:before="60" w:after="60" w:line="240" w:lineRule="auto"/>
              <w:rPr>
                <w:szCs w:val="22"/>
              </w:rPr>
            </w:pPr>
            <w:r>
              <w:rPr>
                <w:szCs w:val="22"/>
              </w:rPr>
              <w:t>#Authorised agent</w:t>
            </w:r>
          </w:p>
        </w:tc>
        <w:tc>
          <w:tcPr>
            <w:tcW w:w="5766" w:type="dxa"/>
            <w:tcBorders>
              <w:top w:val="nil"/>
              <w:left w:val="nil"/>
              <w:bottom w:val="nil"/>
              <w:right w:val="nil"/>
            </w:tcBorders>
          </w:tcPr>
          <w:p w14:paraId="1FB5F9D9" w14:textId="77777777" w:rsidR="00F35B32" w:rsidRDefault="00F35B32" w:rsidP="008A0E5E">
            <w:pPr>
              <w:spacing w:before="60" w:after="60" w:line="240" w:lineRule="auto"/>
              <w:rPr>
                <w:szCs w:val="22"/>
              </w:rPr>
            </w:pPr>
            <w:r>
              <w:rPr>
                <w:szCs w:val="22"/>
              </w:rPr>
              <w:t>[agent's name] [#agent's firm]</w:t>
            </w:r>
          </w:p>
        </w:tc>
      </w:tr>
      <w:tr w:rsidR="00F35B32" w14:paraId="4BB46189"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38F2A5B2" w14:textId="77777777" w:rsidR="00F35B32" w:rsidRDefault="00F35B32" w:rsidP="008A0E5E">
            <w:pPr>
              <w:spacing w:before="60" w:after="60" w:line="240" w:lineRule="auto"/>
              <w:rPr>
                <w:szCs w:val="22"/>
              </w:rPr>
            </w:pPr>
            <w:r>
              <w:rPr>
                <w:szCs w:val="22"/>
              </w:rPr>
              <w:t>#Legal representative reference #Authorised agent reference</w:t>
            </w:r>
          </w:p>
        </w:tc>
        <w:tc>
          <w:tcPr>
            <w:tcW w:w="5766" w:type="dxa"/>
            <w:tcBorders>
              <w:top w:val="nil"/>
              <w:left w:val="nil"/>
              <w:bottom w:val="nil"/>
              <w:right w:val="nil"/>
            </w:tcBorders>
          </w:tcPr>
          <w:p w14:paraId="4FCB7781" w14:textId="77777777" w:rsidR="00F35B32" w:rsidRDefault="00F35B32" w:rsidP="008A0E5E">
            <w:pPr>
              <w:spacing w:before="60" w:after="60" w:line="240" w:lineRule="auto"/>
              <w:rPr>
                <w:szCs w:val="22"/>
              </w:rPr>
            </w:pPr>
            <w:r>
              <w:rPr>
                <w:szCs w:val="22"/>
              </w:rPr>
              <w:t>[reference number]</w:t>
            </w:r>
          </w:p>
        </w:tc>
      </w:tr>
      <w:tr w:rsidR="00F35B32" w14:paraId="6B25C603"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20E9E28" w14:textId="77777777" w:rsidR="00F35B32" w:rsidRDefault="00F35B32" w:rsidP="008A0E5E">
            <w:pPr>
              <w:spacing w:before="60" w:after="60" w:line="240" w:lineRule="auto"/>
              <w:rPr>
                <w:szCs w:val="22"/>
              </w:rPr>
            </w:pPr>
            <w:r>
              <w:rPr>
                <w:szCs w:val="22"/>
              </w:rPr>
              <w:t>Contact name and telephone</w:t>
            </w:r>
          </w:p>
        </w:tc>
        <w:tc>
          <w:tcPr>
            <w:tcW w:w="5766" w:type="dxa"/>
            <w:tcBorders>
              <w:top w:val="nil"/>
              <w:left w:val="nil"/>
              <w:bottom w:val="nil"/>
              <w:right w:val="nil"/>
            </w:tcBorders>
          </w:tcPr>
          <w:p w14:paraId="65D6591E" w14:textId="77777777" w:rsidR="00F35B32" w:rsidRDefault="00F35B32" w:rsidP="008A0E5E">
            <w:pPr>
              <w:spacing w:before="60" w:after="60" w:line="240" w:lineRule="auto"/>
              <w:rPr>
                <w:szCs w:val="22"/>
              </w:rPr>
            </w:pPr>
            <w:r>
              <w:rPr>
                <w:szCs w:val="22"/>
              </w:rPr>
              <w:t>[name] [telephone]</w:t>
            </w:r>
          </w:p>
        </w:tc>
      </w:tr>
      <w:tr w:rsidR="00F35B32" w14:paraId="190789BB"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232A536F" w14:textId="77777777" w:rsidR="00F35B32" w:rsidRDefault="00F35B32" w:rsidP="008A0E5E">
            <w:pPr>
              <w:spacing w:before="60" w:after="60" w:line="240" w:lineRule="auto"/>
              <w:rPr>
                <w:szCs w:val="22"/>
              </w:rPr>
            </w:pPr>
            <w:r>
              <w:rPr>
                <w:szCs w:val="22"/>
              </w:rPr>
              <w:t>Contact email</w:t>
            </w:r>
          </w:p>
        </w:tc>
        <w:tc>
          <w:tcPr>
            <w:tcW w:w="5766" w:type="dxa"/>
            <w:tcBorders>
              <w:top w:val="nil"/>
              <w:left w:val="nil"/>
              <w:bottom w:val="nil"/>
              <w:right w:val="nil"/>
            </w:tcBorders>
          </w:tcPr>
          <w:p w14:paraId="29CF83FF" w14:textId="77777777" w:rsidR="00F35B32" w:rsidRDefault="00F35B32" w:rsidP="008A0E5E">
            <w:pPr>
              <w:spacing w:before="60" w:after="60" w:line="240" w:lineRule="auto"/>
              <w:rPr>
                <w:szCs w:val="22"/>
              </w:rPr>
            </w:pPr>
            <w:r>
              <w:rPr>
                <w:szCs w:val="22"/>
              </w:rPr>
              <w:t>[email address]</w:t>
            </w:r>
          </w:p>
        </w:tc>
      </w:tr>
      <w:tr w:rsidR="009C7FC9" w14:paraId="6307229E"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78BF6EB6" w14:textId="5B1A8528" w:rsidR="009C7FC9" w:rsidRPr="003524FE" w:rsidRDefault="009C7FC9" w:rsidP="008A0E5E">
            <w:pPr>
              <w:keepNext/>
              <w:spacing w:line="240" w:lineRule="auto"/>
              <w:rPr>
                <w:b/>
                <w:sz w:val="24"/>
              </w:rPr>
            </w:pPr>
            <w:r w:rsidRPr="003524FE">
              <w:rPr>
                <w:rFonts w:cs="Arial"/>
                <w:b/>
                <w:bCs/>
                <w:sz w:val="24"/>
              </w:rPr>
              <w:t>Class 3 Valuation Objection</w:t>
            </w:r>
            <w:r w:rsidR="00C06DB3" w:rsidRPr="003524FE">
              <w:rPr>
                <w:rFonts w:cs="Arial"/>
                <w:b/>
                <w:bCs/>
                <w:sz w:val="24"/>
              </w:rPr>
              <w:t>s</w:t>
            </w:r>
            <w:r w:rsidRPr="003524FE">
              <w:rPr>
                <w:rFonts w:cs="Arial"/>
                <w:b/>
                <w:bCs/>
                <w:sz w:val="24"/>
              </w:rPr>
              <w:t xml:space="preserve"> – </w:t>
            </w:r>
            <w:r w:rsidR="00402D70" w:rsidRPr="003524FE">
              <w:rPr>
                <w:rFonts w:cs="Arial"/>
                <w:b/>
                <w:bCs/>
                <w:sz w:val="24"/>
              </w:rPr>
              <w:t>Second</w:t>
            </w:r>
            <w:r w:rsidRPr="003524FE">
              <w:rPr>
                <w:rFonts w:cs="Arial"/>
                <w:b/>
                <w:bCs/>
                <w:sz w:val="24"/>
              </w:rPr>
              <w:t xml:space="preserve"> Directions</w:t>
            </w:r>
            <w:r w:rsidR="00C06DB3" w:rsidRPr="003524FE">
              <w:rPr>
                <w:rFonts w:cs="Arial"/>
                <w:b/>
                <w:bCs/>
                <w:sz w:val="24"/>
              </w:rPr>
              <w:t xml:space="preserve"> Hearing</w:t>
            </w:r>
          </w:p>
        </w:tc>
      </w:tr>
    </w:tbl>
    <w:p w14:paraId="2095C812" w14:textId="538DE014" w:rsidR="00523975" w:rsidRPr="00523975" w:rsidRDefault="00523975" w:rsidP="00C06DB3">
      <w:pPr>
        <w:pStyle w:val="ListParagraph"/>
        <w:numPr>
          <w:ilvl w:val="0"/>
          <w:numId w:val="4"/>
        </w:numPr>
        <w:spacing w:before="120" w:after="120" w:line="360" w:lineRule="auto"/>
        <w:ind w:right="521" w:hanging="357"/>
        <w:rPr>
          <w:rFonts w:eastAsia="Times New Roman" w:cs="Times New Roman"/>
          <w:sz w:val="24"/>
          <w:szCs w:val="24"/>
          <w:lang w:val="en-AU"/>
        </w:rPr>
      </w:pPr>
      <w:bookmarkStart w:id="0" w:name="_Hlk161927823"/>
      <w:r w:rsidRPr="00523975">
        <w:rPr>
          <w:rFonts w:eastAsia="Times New Roman" w:cs="Times New Roman"/>
          <w:sz w:val="24"/>
          <w:szCs w:val="24"/>
          <w:lang w:val="en-AU"/>
        </w:rPr>
        <w:t xml:space="preserve">Under rr 31.19 and 31.20 of the </w:t>
      </w:r>
      <w:r w:rsidRPr="00C06DB3">
        <w:rPr>
          <w:rFonts w:eastAsia="Times New Roman" w:cs="Times New Roman"/>
          <w:sz w:val="24"/>
          <w:szCs w:val="24"/>
          <w:lang w:val="en-AU"/>
        </w:rPr>
        <w:t>Uniform Civil Procedure Rules 2005</w:t>
      </w:r>
      <w:r w:rsidRPr="00523975">
        <w:rPr>
          <w:rFonts w:eastAsia="Times New Roman" w:cs="Times New Roman"/>
          <w:sz w:val="24"/>
          <w:szCs w:val="24"/>
          <w:lang w:val="en-AU"/>
        </w:rPr>
        <w:t xml:space="preserve"> (‘UCPR’), the Court makes the following directions regarding expert evidence:</w:t>
      </w:r>
    </w:p>
    <w:p w14:paraId="2D290EC4" w14:textId="5566F813" w:rsidR="00523975" w:rsidRPr="00523975" w:rsidRDefault="00523975" w:rsidP="00C06DB3">
      <w:pPr>
        <w:pStyle w:val="ListParagraph"/>
        <w:numPr>
          <w:ilvl w:val="0"/>
          <w:numId w:val="5"/>
        </w:numPr>
        <w:spacing w:before="120" w:after="120" w:line="360" w:lineRule="auto"/>
        <w:ind w:right="521"/>
        <w:rPr>
          <w:sz w:val="24"/>
        </w:rPr>
      </w:pPr>
      <w:r w:rsidRPr="00523975">
        <w:rPr>
          <w:sz w:val="24"/>
        </w:rPr>
        <w:t>[name of the expert witness] may prepare an individual expert’s report on [specified issues];</w:t>
      </w:r>
    </w:p>
    <w:p w14:paraId="1B283FD6" w14:textId="72FEC17C" w:rsidR="00523975" w:rsidRPr="00523975" w:rsidRDefault="00523975" w:rsidP="00C06DB3">
      <w:pPr>
        <w:pStyle w:val="ListParagraph"/>
        <w:numPr>
          <w:ilvl w:val="0"/>
          <w:numId w:val="5"/>
        </w:numPr>
        <w:spacing w:before="120" w:after="120" w:line="360" w:lineRule="auto"/>
        <w:ind w:right="521"/>
        <w:rPr>
          <w:sz w:val="24"/>
        </w:rPr>
      </w:pPr>
      <w:r w:rsidRPr="00523975">
        <w:rPr>
          <w:sz w:val="24"/>
        </w:rPr>
        <w:t>[the named experts] are to confer in relation to [specified issues] under UCPR r 31.24 and prepare a joint expert report;</w:t>
      </w:r>
    </w:p>
    <w:p w14:paraId="7225A4EB" w14:textId="34F7DFAD" w:rsidR="00523975" w:rsidRPr="00523975" w:rsidRDefault="00523975" w:rsidP="00C06DB3">
      <w:pPr>
        <w:pStyle w:val="ListParagraph"/>
        <w:numPr>
          <w:ilvl w:val="0"/>
          <w:numId w:val="5"/>
        </w:numPr>
        <w:spacing w:before="120" w:after="120" w:line="360" w:lineRule="auto"/>
        <w:ind w:right="521"/>
        <w:rPr>
          <w:sz w:val="24"/>
        </w:rPr>
      </w:pPr>
      <w:r w:rsidRPr="00523975">
        <w:rPr>
          <w:sz w:val="24"/>
        </w:rPr>
        <w:t>the individual expert’s report of [named expert] is to be filed and served by [date];</w:t>
      </w:r>
    </w:p>
    <w:p w14:paraId="2934C3B5" w14:textId="0B2B9692" w:rsidR="00523975" w:rsidRPr="00523975" w:rsidRDefault="00523975" w:rsidP="00C06DB3">
      <w:pPr>
        <w:pStyle w:val="ListParagraph"/>
        <w:numPr>
          <w:ilvl w:val="0"/>
          <w:numId w:val="5"/>
        </w:numPr>
        <w:spacing w:before="120" w:after="120" w:line="360" w:lineRule="auto"/>
        <w:ind w:right="521"/>
        <w:rPr>
          <w:sz w:val="24"/>
        </w:rPr>
      </w:pPr>
      <w:r w:rsidRPr="00523975">
        <w:rPr>
          <w:sz w:val="24"/>
        </w:rPr>
        <w:t>the joint expert report of [named experts] is to be filed and served by [date].</w:t>
      </w:r>
    </w:p>
    <w:p w14:paraId="57FA58DC" w14:textId="2FD313D2" w:rsidR="00523975" w:rsidRDefault="00523975" w:rsidP="00C06DB3">
      <w:pPr>
        <w:ind w:left="1134" w:right="521" w:hanging="708"/>
        <w:jc w:val="both"/>
        <w:rPr>
          <w:sz w:val="24"/>
        </w:rPr>
      </w:pPr>
      <w:r w:rsidRPr="00523975">
        <w:rPr>
          <w:sz w:val="24"/>
        </w:rPr>
        <w:lastRenderedPageBreak/>
        <w:t>Note: The above directions may be duplicated for each area of expertise required.</w:t>
      </w:r>
    </w:p>
    <w:bookmarkEnd w:id="0"/>
    <w:p w14:paraId="56FF8E3A" w14:textId="055958CB"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Unless the Court otherwise orders, expert evidence may not be adduced at the hearing otherwise than in accordance with the directions made by the Court in accordance with UCPR rr 31.19 and 31.20, including compliance with directions as to the time for service and filing of experts’ reports and joint expert reports.</w:t>
      </w:r>
    </w:p>
    <w:p w14:paraId="5C70D9F2" w14:textId="7D00F5A8"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Parties are to serve a copy of these directions, the statements of contentions on valuation objection, Division 2 of Pt 31 of the Uniform Civil Procedure Rules, the Expert Witness Code of Conduct in Schedule 7 of the Uniform Civil Procedure Rules, and the Court policies on Joint Reports and on Conference of Expert Witnesses on all experts upon whose evidence they propose to rely within 3 business days of these orders being made, or, for a statement of facts and contentions (or reply) filed after the making of these orders, within 3 business days of them being filed or served.</w:t>
      </w:r>
    </w:p>
    <w:p w14:paraId="1DFA75E5" w14:textId="5E07FF7B"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Experts are directed to give written notice to the Court and the party instructing them if for any reason they anticipate that they cannot comply with these directions. In that case, or if the experts have failed to comply with these directions, the parties will promptly list the matter before the Court for directions and give written notice to the other parties.</w:t>
      </w:r>
    </w:p>
    <w:p w14:paraId="7E3E17C9" w14:textId="6CCC02C3"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 xml:space="preserve">Experts are to ensure that a joint conference is a genuine dialogue between experts in a common effort to reach agreement with the other expert witness about the relevant facts and issues. Any joint report is to be a product of this genuine dialogue and is not to be a mere summary or compilation of the </w:t>
      </w:r>
      <w:r w:rsidR="00C06DB3">
        <w:rPr>
          <w:sz w:val="24"/>
        </w:rPr>
        <w:t>p</w:t>
      </w:r>
      <w:r w:rsidRPr="00523975">
        <w:rPr>
          <w:sz w:val="24"/>
        </w:rPr>
        <w:t>reexisting positions of the experts.</w:t>
      </w:r>
    </w:p>
    <w:p w14:paraId="577F673F" w14:textId="585C2B26"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A joint report is to identify the experts involved in its preparation, the date of their joint conferences, the matters they agreed about, the matters they disagreed about and reasons for agreement and disagreement. A joint report should avoid repetition and be organised to facilitate a clear understanding of the final position of the experts about the matters in issue and the reasoning process they used to reach those positions. Each expert is to sign and date the joint report.</w:t>
      </w:r>
    </w:p>
    <w:p w14:paraId="43FF25DF" w14:textId="0F8BAFAA"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 xml:space="preserve">Legal representatives are not to attend joint conferences of experts or be </w:t>
      </w:r>
      <w:r w:rsidRPr="00523975">
        <w:rPr>
          <w:sz w:val="24"/>
        </w:rPr>
        <w:lastRenderedPageBreak/>
        <w:t>involved in the preparation of joint reports without the leave of the Court.</w:t>
      </w:r>
    </w:p>
    <w:p w14:paraId="12261DB2" w14:textId="5539C52A"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At the hearing the evidence of experts is to be given by way of concurrent evidence, unless the hearing judge or commissioner directs otherwise.</w:t>
      </w:r>
    </w:p>
    <w:p w14:paraId="3137B135" w14:textId="63D6E072"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A party calling a witness may not, without the leave of the Court, lead evidence from the witness the substance of which is not included in a document served in accordance with the Court’s directions.</w:t>
      </w:r>
    </w:p>
    <w:p w14:paraId="122630AA" w14:textId="71062EF0"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If any witness is required for cross-examination, notice is to be given prior to the pre-hearing mention.</w:t>
      </w:r>
    </w:p>
    <w:p w14:paraId="4E6711F3" w14:textId="6CAF9118" w:rsidR="00523975" w:rsidRPr="00C06DB3" w:rsidRDefault="00523975" w:rsidP="00C06DB3">
      <w:pPr>
        <w:pStyle w:val="ListParagraph"/>
        <w:numPr>
          <w:ilvl w:val="0"/>
          <w:numId w:val="4"/>
        </w:numPr>
        <w:spacing w:before="120" w:after="120" w:line="360" w:lineRule="auto"/>
        <w:ind w:right="521" w:hanging="357"/>
        <w:rPr>
          <w:sz w:val="24"/>
        </w:rPr>
      </w:pPr>
      <w:r w:rsidRPr="00523975">
        <w:rPr>
          <w:sz w:val="24"/>
        </w:rPr>
        <w:t>A party who proposes to object to any part of an affidavit, statement or report is to file and serve notice of its objections, including the grounds in support, at least seven days before the hearing.</w:t>
      </w:r>
    </w:p>
    <w:p w14:paraId="0944E67B" w14:textId="77777777" w:rsidR="00924B2D" w:rsidRPr="007F24F9" w:rsidRDefault="00924B2D" w:rsidP="00924B2D">
      <w:pPr>
        <w:pStyle w:val="ListParagraph"/>
        <w:numPr>
          <w:ilvl w:val="0"/>
          <w:numId w:val="4"/>
        </w:numPr>
        <w:tabs>
          <w:tab w:val="left" w:pos="932"/>
        </w:tabs>
        <w:spacing w:before="120" w:line="360" w:lineRule="auto"/>
        <w:ind w:right="539"/>
        <w:rPr>
          <w:sz w:val="24"/>
        </w:rPr>
      </w:pPr>
      <w:r w:rsidRPr="007F24F9">
        <w:rPr>
          <w:sz w:val="24"/>
        </w:rPr>
        <w:t xml:space="preserve">The matter is fixed for a third directions hearing on </w:t>
      </w:r>
      <w:r>
        <w:rPr>
          <w:sz w:val="24"/>
        </w:rPr>
        <w:t>_________</w:t>
      </w:r>
      <w:r w:rsidRPr="007F24F9">
        <w:rPr>
          <w:sz w:val="24"/>
        </w:rPr>
        <w:t xml:space="preserve"> [7 days after final evidence is to be filed]</w:t>
      </w:r>
      <w:r>
        <w:rPr>
          <w:sz w:val="24"/>
        </w:rPr>
        <w:t>.</w:t>
      </w:r>
    </w:p>
    <w:p w14:paraId="6D09D15E" w14:textId="77777777" w:rsidR="00523975" w:rsidRPr="00523975" w:rsidRDefault="00523975" w:rsidP="00523975">
      <w:pPr>
        <w:rPr>
          <w:sz w:val="24"/>
        </w:rPr>
      </w:pPr>
    </w:p>
    <w:tbl>
      <w:tblPr>
        <w:tblW w:w="0" w:type="auto"/>
        <w:tblLook w:val="00A0" w:firstRow="1" w:lastRow="0" w:firstColumn="1" w:lastColumn="0" w:noHBand="0" w:noVBand="0"/>
      </w:tblPr>
      <w:tblGrid>
        <w:gridCol w:w="3569"/>
        <w:gridCol w:w="5457"/>
      </w:tblGrid>
      <w:tr w:rsidR="009C7FC9" w14:paraId="6E392A96" w14:textId="77777777" w:rsidTr="008A0E5E">
        <w:tc>
          <w:tcPr>
            <w:tcW w:w="9026" w:type="dxa"/>
            <w:gridSpan w:val="2"/>
            <w:shd w:val="clear" w:color="auto" w:fill="D9D9D9"/>
          </w:tcPr>
          <w:p w14:paraId="313F8E0C" w14:textId="77777777" w:rsidR="009C7FC9" w:rsidRDefault="009C7FC9" w:rsidP="008A0E5E">
            <w:pPr>
              <w:keepNext/>
              <w:spacing w:line="240" w:lineRule="auto"/>
              <w:rPr>
                <w:b/>
              </w:rPr>
            </w:pPr>
            <w:r>
              <w:rPr>
                <w:rFonts w:cs="Arial"/>
                <w:b/>
                <w:bCs/>
              </w:rPr>
              <w:t>Applicant</w:t>
            </w:r>
          </w:p>
        </w:tc>
      </w:tr>
      <w:tr w:rsidR="009C7FC9" w14:paraId="2F5180D1" w14:textId="77777777" w:rsidTr="008A0E5E">
        <w:trPr>
          <w:cantSplit/>
        </w:trPr>
        <w:tc>
          <w:tcPr>
            <w:tcW w:w="3569" w:type="dxa"/>
          </w:tcPr>
          <w:p w14:paraId="2223C098" w14:textId="77777777" w:rsidR="009C7FC9" w:rsidRDefault="009C7FC9" w:rsidP="008A0E5E">
            <w:pPr>
              <w:keepNext/>
              <w:spacing w:before="60" w:after="60" w:line="240" w:lineRule="auto"/>
            </w:pPr>
            <w:r>
              <w:t>#Signature of legal representative</w:t>
            </w:r>
          </w:p>
        </w:tc>
        <w:tc>
          <w:tcPr>
            <w:tcW w:w="5457" w:type="dxa"/>
          </w:tcPr>
          <w:p w14:paraId="50A043AF" w14:textId="77777777" w:rsidR="009C7FC9" w:rsidRDefault="009C7FC9" w:rsidP="008A0E5E">
            <w:pPr>
              <w:keepNext/>
              <w:spacing w:before="60" w:after="60" w:line="240" w:lineRule="auto"/>
            </w:pPr>
          </w:p>
        </w:tc>
      </w:tr>
      <w:tr w:rsidR="009C7FC9" w14:paraId="6566CC4C" w14:textId="77777777" w:rsidTr="008A0E5E">
        <w:trPr>
          <w:cantSplit/>
        </w:trPr>
        <w:tc>
          <w:tcPr>
            <w:tcW w:w="3569" w:type="dxa"/>
          </w:tcPr>
          <w:p w14:paraId="64C7AF82" w14:textId="77777777" w:rsidR="009C7FC9" w:rsidRDefault="009C7FC9" w:rsidP="008A0E5E">
            <w:pPr>
              <w:keepNext/>
              <w:spacing w:before="60" w:after="60" w:line="240" w:lineRule="auto"/>
            </w:pPr>
            <w:r>
              <w:t>#Signature of or on behalf of party if not legally represented</w:t>
            </w:r>
          </w:p>
        </w:tc>
        <w:tc>
          <w:tcPr>
            <w:tcW w:w="5457" w:type="dxa"/>
          </w:tcPr>
          <w:p w14:paraId="5BA50968" w14:textId="77777777" w:rsidR="009C7FC9" w:rsidRDefault="009C7FC9" w:rsidP="008A0E5E">
            <w:pPr>
              <w:keepNext/>
              <w:spacing w:before="60" w:after="60" w:line="240" w:lineRule="auto"/>
            </w:pPr>
          </w:p>
        </w:tc>
      </w:tr>
      <w:tr w:rsidR="009C7FC9" w14:paraId="738AFAC7" w14:textId="77777777" w:rsidTr="008A0E5E">
        <w:trPr>
          <w:cantSplit/>
        </w:trPr>
        <w:tc>
          <w:tcPr>
            <w:tcW w:w="3569" w:type="dxa"/>
          </w:tcPr>
          <w:p w14:paraId="33B86091" w14:textId="77777777" w:rsidR="009C7FC9" w:rsidRDefault="009C7FC9" w:rsidP="008A0E5E">
            <w:pPr>
              <w:keepNext/>
              <w:spacing w:before="60" w:after="60" w:line="240" w:lineRule="auto"/>
            </w:pPr>
            <w:r>
              <w:t>Capacity</w:t>
            </w:r>
          </w:p>
        </w:tc>
        <w:tc>
          <w:tcPr>
            <w:tcW w:w="5457" w:type="dxa"/>
          </w:tcPr>
          <w:p w14:paraId="435D762A" w14:textId="77777777" w:rsidR="009C7FC9" w:rsidRDefault="009C7FC9" w:rsidP="008A0E5E">
            <w:pPr>
              <w:keepNext/>
              <w:spacing w:before="60" w:after="60" w:line="240" w:lineRule="auto"/>
            </w:pPr>
            <w:r>
              <w:t>[eg solicitor, authorised agent for (role of party), role of party]</w:t>
            </w:r>
          </w:p>
        </w:tc>
      </w:tr>
      <w:tr w:rsidR="009C7FC9" w14:paraId="7DD6EC73" w14:textId="77777777" w:rsidTr="008A0E5E">
        <w:trPr>
          <w:cantSplit/>
        </w:trPr>
        <w:tc>
          <w:tcPr>
            <w:tcW w:w="3569" w:type="dxa"/>
          </w:tcPr>
          <w:p w14:paraId="35C3961C" w14:textId="77777777" w:rsidR="009C7FC9" w:rsidRDefault="009C7FC9" w:rsidP="008A0E5E">
            <w:pPr>
              <w:keepNext/>
              <w:spacing w:before="60" w:after="60" w:line="240" w:lineRule="auto"/>
            </w:pPr>
            <w:r>
              <w:t>Date of signature</w:t>
            </w:r>
          </w:p>
        </w:tc>
        <w:tc>
          <w:tcPr>
            <w:tcW w:w="5457" w:type="dxa"/>
          </w:tcPr>
          <w:p w14:paraId="2B6286B7" w14:textId="77777777" w:rsidR="009C7FC9" w:rsidRDefault="009C7FC9" w:rsidP="008A0E5E">
            <w:pPr>
              <w:keepNext/>
              <w:spacing w:before="60" w:after="60" w:line="240" w:lineRule="auto"/>
            </w:pPr>
          </w:p>
        </w:tc>
      </w:tr>
    </w:tbl>
    <w:p w14:paraId="3939ED0A" w14:textId="78998330" w:rsidR="009C7FC9" w:rsidRDefault="009C7FC9" w:rsidP="009C7FC9">
      <w:pPr>
        <w:pStyle w:val="ListParagraph"/>
        <w:ind w:left="224" w:firstLine="0"/>
        <w:rPr>
          <w:b/>
          <w:bCs/>
        </w:rPr>
      </w:pPr>
    </w:p>
    <w:p w14:paraId="344AB6CF" w14:textId="77777777" w:rsidR="009C7FC9" w:rsidRPr="009C7FC9" w:rsidRDefault="009C7FC9" w:rsidP="009C7FC9">
      <w:pPr>
        <w:pStyle w:val="ListParagraph"/>
        <w:ind w:left="224" w:firstLine="0"/>
        <w:rPr>
          <w:b/>
          <w:bCs/>
        </w:rPr>
      </w:pPr>
    </w:p>
    <w:tbl>
      <w:tblPr>
        <w:tblW w:w="0" w:type="auto"/>
        <w:tblLook w:val="00A0" w:firstRow="1" w:lastRow="0" w:firstColumn="1" w:lastColumn="0" w:noHBand="0" w:noVBand="0"/>
      </w:tblPr>
      <w:tblGrid>
        <w:gridCol w:w="3569"/>
        <w:gridCol w:w="5457"/>
      </w:tblGrid>
      <w:tr w:rsidR="009C7FC9" w14:paraId="178C0BC9" w14:textId="77777777" w:rsidTr="008A0E5E">
        <w:tc>
          <w:tcPr>
            <w:tcW w:w="9026" w:type="dxa"/>
            <w:gridSpan w:val="2"/>
            <w:shd w:val="clear" w:color="auto" w:fill="D9D9D9"/>
          </w:tcPr>
          <w:p w14:paraId="7E477CCF" w14:textId="089BE1C6" w:rsidR="009C7FC9" w:rsidRDefault="00F148F8" w:rsidP="008A0E5E">
            <w:pPr>
              <w:keepNext/>
              <w:spacing w:line="240" w:lineRule="auto"/>
              <w:rPr>
                <w:b/>
              </w:rPr>
            </w:pPr>
            <w:r>
              <w:rPr>
                <w:rFonts w:cs="Arial"/>
                <w:b/>
                <w:bCs/>
              </w:rPr>
              <w:t>Respondent</w:t>
            </w:r>
          </w:p>
        </w:tc>
      </w:tr>
      <w:tr w:rsidR="009C7FC9" w14:paraId="6E0B8B8D" w14:textId="77777777" w:rsidTr="008A0E5E">
        <w:trPr>
          <w:cantSplit/>
        </w:trPr>
        <w:tc>
          <w:tcPr>
            <w:tcW w:w="3569" w:type="dxa"/>
          </w:tcPr>
          <w:p w14:paraId="72ACD7C9" w14:textId="77777777" w:rsidR="009C7FC9" w:rsidRDefault="009C7FC9" w:rsidP="008A0E5E">
            <w:pPr>
              <w:keepNext/>
              <w:spacing w:before="60" w:after="60" w:line="240" w:lineRule="auto"/>
            </w:pPr>
            <w:r>
              <w:t>#Signature of legal representative</w:t>
            </w:r>
          </w:p>
        </w:tc>
        <w:tc>
          <w:tcPr>
            <w:tcW w:w="5457" w:type="dxa"/>
          </w:tcPr>
          <w:p w14:paraId="6BDF3BF1" w14:textId="77777777" w:rsidR="009C7FC9" w:rsidRDefault="009C7FC9" w:rsidP="008A0E5E">
            <w:pPr>
              <w:keepNext/>
              <w:spacing w:before="60" w:after="60" w:line="240" w:lineRule="auto"/>
            </w:pPr>
          </w:p>
        </w:tc>
      </w:tr>
      <w:tr w:rsidR="009C7FC9" w14:paraId="4AF509E3" w14:textId="77777777" w:rsidTr="008A0E5E">
        <w:trPr>
          <w:cantSplit/>
        </w:trPr>
        <w:tc>
          <w:tcPr>
            <w:tcW w:w="3569" w:type="dxa"/>
          </w:tcPr>
          <w:p w14:paraId="4BF59BEE" w14:textId="77777777" w:rsidR="009C7FC9" w:rsidRDefault="009C7FC9" w:rsidP="008A0E5E">
            <w:pPr>
              <w:keepNext/>
              <w:spacing w:before="60" w:after="60" w:line="240" w:lineRule="auto"/>
            </w:pPr>
            <w:r>
              <w:t>#Signature of or on behalf of party if not legally represented</w:t>
            </w:r>
          </w:p>
        </w:tc>
        <w:tc>
          <w:tcPr>
            <w:tcW w:w="5457" w:type="dxa"/>
          </w:tcPr>
          <w:p w14:paraId="286BCF1B" w14:textId="77777777" w:rsidR="009C7FC9" w:rsidRDefault="009C7FC9" w:rsidP="008A0E5E">
            <w:pPr>
              <w:keepNext/>
              <w:spacing w:before="60" w:after="60" w:line="240" w:lineRule="auto"/>
            </w:pPr>
          </w:p>
        </w:tc>
      </w:tr>
      <w:tr w:rsidR="009C7FC9" w14:paraId="5750AEE5" w14:textId="77777777" w:rsidTr="008A0E5E">
        <w:trPr>
          <w:cantSplit/>
        </w:trPr>
        <w:tc>
          <w:tcPr>
            <w:tcW w:w="3569" w:type="dxa"/>
          </w:tcPr>
          <w:p w14:paraId="35892374" w14:textId="77777777" w:rsidR="009C7FC9" w:rsidRDefault="009C7FC9" w:rsidP="008A0E5E">
            <w:pPr>
              <w:keepNext/>
              <w:spacing w:before="60" w:after="60" w:line="240" w:lineRule="auto"/>
            </w:pPr>
            <w:r>
              <w:t>Capacity</w:t>
            </w:r>
          </w:p>
        </w:tc>
        <w:tc>
          <w:tcPr>
            <w:tcW w:w="5457" w:type="dxa"/>
          </w:tcPr>
          <w:p w14:paraId="6921F8BF" w14:textId="77777777" w:rsidR="009C7FC9" w:rsidRDefault="009C7FC9" w:rsidP="008A0E5E">
            <w:pPr>
              <w:keepNext/>
              <w:spacing w:before="60" w:after="60" w:line="240" w:lineRule="auto"/>
            </w:pPr>
            <w:r>
              <w:t>[eg solicitor, authorised agent for (role of party), role of party]</w:t>
            </w:r>
          </w:p>
        </w:tc>
      </w:tr>
      <w:tr w:rsidR="009C7FC9" w14:paraId="010F7208" w14:textId="77777777" w:rsidTr="008A0E5E">
        <w:trPr>
          <w:cantSplit/>
        </w:trPr>
        <w:tc>
          <w:tcPr>
            <w:tcW w:w="3569" w:type="dxa"/>
          </w:tcPr>
          <w:p w14:paraId="4D527C87" w14:textId="77777777" w:rsidR="009C7FC9" w:rsidRDefault="009C7FC9" w:rsidP="008A0E5E">
            <w:pPr>
              <w:keepNext/>
              <w:spacing w:before="60" w:after="60" w:line="240" w:lineRule="auto"/>
            </w:pPr>
            <w:r>
              <w:t>Date of signature</w:t>
            </w:r>
          </w:p>
        </w:tc>
        <w:tc>
          <w:tcPr>
            <w:tcW w:w="5457" w:type="dxa"/>
          </w:tcPr>
          <w:p w14:paraId="7080321D" w14:textId="77777777" w:rsidR="009C7FC9" w:rsidRDefault="009C7FC9" w:rsidP="008A0E5E">
            <w:pPr>
              <w:keepNext/>
              <w:spacing w:before="60" w:after="60" w:line="240" w:lineRule="auto"/>
            </w:pPr>
          </w:p>
        </w:tc>
      </w:tr>
    </w:tbl>
    <w:p w14:paraId="65940B74" w14:textId="233B83B8" w:rsidR="00F35B32" w:rsidRDefault="00F35B32" w:rsidP="009C7FC9">
      <w:pPr>
        <w:ind w:firstLine="720"/>
      </w:pPr>
    </w:p>
    <w:p w14:paraId="3D38DF91" w14:textId="77777777" w:rsidR="009C7FC9" w:rsidRDefault="009C7FC9"/>
    <w:sectPr w:rsidR="009C7FC9" w:rsidSect="00523975">
      <w:headerReference w:type="default" r:id="rId7"/>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33B1" w14:textId="77777777" w:rsidR="00F35B32" w:rsidRDefault="00F35B32" w:rsidP="00F35B32">
      <w:pPr>
        <w:spacing w:before="0" w:after="0" w:line="240" w:lineRule="auto"/>
      </w:pPr>
      <w:r>
        <w:separator/>
      </w:r>
    </w:p>
  </w:endnote>
  <w:endnote w:type="continuationSeparator" w:id="0">
    <w:p w14:paraId="3B66EDCB" w14:textId="77777777" w:rsidR="00F35B32" w:rsidRDefault="00F35B32" w:rsidP="00F35B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42543"/>
      <w:docPartObj>
        <w:docPartGallery w:val="Page Numbers (Bottom of Page)"/>
        <w:docPartUnique/>
      </w:docPartObj>
    </w:sdtPr>
    <w:sdtEndPr>
      <w:rPr>
        <w:noProof/>
      </w:rPr>
    </w:sdtEndPr>
    <w:sdtContent>
      <w:p w14:paraId="5DFD36A6" w14:textId="05804D19" w:rsidR="00C06DB3" w:rsidRDefault="00C06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2D6FB" w14:textId="77777777" w:rsidR="00C06DB3" w:rsidRDefault="00C06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6BC0" w14:textId="77777777" w:rsidR="00F35B32" w:rsidRDefault="00F35B32" w:rsidP="00F35B32">
      <w:pPr>
        <w:spacing w:before="0" w:after="0" w:line="240" w:lineRule="auto"/>
      </w:pPr>
      <w:r>
        <w:separator/>
      </w:r>
    </w:p>
  </w:footnote>
  <w:footnote w:type="continuationSeparator" w:id="0">
    <w:p w14:paraId="18BB4AB5" w14:textId="77777777" w:rsidR="00F35B32" w:rsidRDefault="00F35B32" w:rsidP="00F35B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5FD" w14:textId="308F2B13" w:rsidR="00F35B32" w:rsidRDefault="00F35B32">
    <w:pPr>
      <w:pStyle w:val="Header"/>
      <w:jc w:val="center"/>
    </w:pPr>
  </w:p>
  <w:p w14:paraId="0674B446" w14:textId="77777777" w:rsidR="00F35B32" w:rsidRDefault="00F3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EA7"/>
    <w:multiLevelType w:val="hybridMultilevel"/>
    <w:tmpl w:val="3F30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FD6A8A"/>
    <w:multiLevelType w:val="hybridMultilevel"/>
    <w:tmpl w:val="DEA865DA"/>
    <w:lvl w:ilvl="0" w:tplc="977E3B42">
      <w:start w:val="1"/>
      <w:numFmt w:val="decimal"/>
      <w:lvlText w:val="%1."/>
      <w:lvlJc w:val="left"/>
      <w:pPr>
        <w:ind w:left="584" w:hanging="360"/>
      </w:pPr>
      <w:rPr>
        <w:rFonts w:hint="default"/>
      </w:rPr>
    </w:lvl>
    <w:lvl w:ilvl="1" w:tplc="D3002FE6">
      <w:start w:val="1"/>
      <w:numFmt w:val="lowerLetter"/>
      <w:lvlText w:val="(%2)"/>
      <w:lvlJc w:val="left"/>
      <w:pPr>
        <w:ind w:left="1304" w:hanging="360"/>
      </w:pPr>
      <w:rPr>
        <w:rFonts w:hint="default"/>
      </w:rPr>
    </w:lvl>
    <w:lvl w:ilvl="2" w:tplc="0C09001B" w:tentative="1">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abstractNum w:abstractNumId="2" w15:restartNumberingAfterBreak="0">
    <w:nsid w:val="56C75177"/>
    <w:multiLevelType w:val="hybridMultilevel"/>
    <w:tmpl w:val="1D022B48"/>
    <w:lvl w:ilvl="0" w:tplc="B374EFE4">
      <w:start w:val="4"/>
      <w:numFmt w:val="decimal"/>
      <w:lvlText w:val="%1."/>
      <w:lvlJc w:val="left"/>
      <w:pPr>
        <w:ind w:left="224" w:hanging="269"/>
      </w:pPr>
      <w:rPr>
        <w:rFonts w:ascii="Arial" w:eastAsia="Arial" w:hAnsi="Arial" w:cs="Arial" w:hint="default"/>
        <w:b w:val="0"/>
        <w:bCs w:val="0"/>
        <w:i w:val="0"/>
        <w:iCs w:val="0"/>
        <w:spacing w:val="0"/>
        <w:w w:val="100"/>
        <w:sz w:val="24"/>
        <w:szCs w:val="24"/>
        <w:lang w:val="en-US" w:eastAsia="en-US" w:bidi="ar-SA"/>
      </w:rPr>
    </w:lvl>
    <w:lvl w:ilvl="1" w:tplc="A522951C">
      <w:start w:val="1"/>
      <w:numFmt w:val="decimal"/>
      <w:lvlText w:val="%2."/>
      <w:lvlJc w:val="left"/>
      <w:pPr>
        <w:ind w:left="966" w:hanging="533"/>
      </w:pPr>
      <w:rPr>
        <w:rFonts w:ascii="Arial" w:eastAsia="Arial" w:hAnsi="Arial" w:cs="Arial" w:hint="default"/>
        <w:b w:val="0"/>
        <w:bCs w:val="0"/>
        <w:i w:val="0"/>
        <w:iCs w:val="0"/>
        <w:spacing w:val="0"/>
        <w:w w:val="100"/>
        <w:sz w:val="24"/>
        <w:szCs w:val="24"/>
        <w:lang w:val="en-US" w:eastAsia="en-US" w:bidi="ar-SA"/>
      </w:rPr>
    </w:lvl>
    <w:lvl w:ilvl="2" w:tplc="E0ACE948">
      <w:numFmt w:val="bullet"/>
      <w:lvlText w:val="•"/>
      <w:lvlJc w:val="left"/>
      <w:pPr>
        <w:ind w:left="1997" w:hanging="533"/>
      </w:pPr>
      <w:rPr>
        <w:lang w:val="en-US" w:eastAsia="en-US" w:bidi="ar-SA"/>
      </w:rPr>
    </w:lvl>
    <w:lvl w:ilvl="3" w:tplc="0DD62BE0">
      <w:numFmt w:val="bullet"/>
      <w:lvlText w:val="•"/>
      <w:lvlJc w:val="left"/>
      <w:pPr>
        <w:ind w:left="3035" w:hanging="533"/>
      </w:pPr>
      <w:rPr>
        <w:lang w:val="en-US" w:eastAsia="en-US" w:bidi="ar-SA"/>
      </w:rPr>
    </w:lvl>
    <w:lvl w:ilvl="4" w:tplc="9DD803FE">
      <w:numFmt w:val="bullet"/>
      <w:lvlText w:val="•"/>
      <w:lvlJc w:val="left"/>
      <w:pPr>
        <w:ind w:left="4073" w:hanging="533"/>
      </w:pPr>
      <w:rPr>
        <w:lang w:val="en-US" w:eastAsia="en-US" w:bidi="ar-SA"/>
      </w:rPr>
    </w:lvl>
    <w:lvl w:ilvl="5" w:tplc="87F2ED14">
      <w:numFmt w:val="bullet"/>
      <w:lvlText w:val="•"/>
      <w:lvlJc w:val="left"/>
      <w:pPr>
        <w:ind w:left="5111" w:hanging="533"/>
      </w:pPr>
      <w:rPr>
        <w:lang w:val="en-US" w:eastAsia="en-US" w:bidi="ar-SA"/>
      </w:rPr>
    </w:lvl>
    <w:lvl w:ilvl="6" w:tplc="BD7A8324">
      <w:numFmt w:val="bullet"/>
      <w:lvlText w:val="•"/>
      <w:lvlJc w:val="left"/>
      <w:pPr>
        <w:ind w:left="6148" w:hanging="533"/>
      </w:pPr>
      <w:rPr>
        <w:lang w:val="en-US" w:eastAsia="en-US" w:bidi="ar-SA"/>
      </w:rPr>
    </w:lvl>
    <w:lvl w:ilvl="7" w:tplc="7AA20C2A">
      <w:numFmt w:val="bullet"/>
      <w:lvlText w:val="•"/>
      <w:lvlJc w:val="left"/>
      <w:pPr>
        <w:ind w:left="7186" w:hanging="533"/>
      </w:pPr>
      <w:rPr>
        <w:lang w:val="en-US" w:eastAsia="en-US" w:bidi="ar-SA"/>
      </w:rPr>
    </w:lvl>
    <w:lvl w:ilvl="8" w:tplc="2890789A">
      <w:numFmt w:val="bullet"/>
      <w:lvlText w:val="•"/>
      <w:lvlJc w:val="left"/>
      <w:pPr>
        <w:ind w:left="8224" w:hanging="533"/>
      </w:pPr>
      <w:rPr>
        <w:lang w:val="en-US" w:eastAsia="en-US" w:bidi="ar-SA"/>
      </w:rPr>
    </w:lvl>
  </w:abstractNum>
  <w:abstractNum w:abstractNumId="3" w15:restartNumberingAfterBreak="0">
    <w:nsid w:val="5AA12E7C"/>
    <w:multiLevelType w:val="hybridMultilevel"/>
    <w:tmpl w:val="93C0CD94"/>
    <w:lvl w:ilvl="0" w:tplc="0762A192">
      <w:start w:val="1"/>
      <w:numFmt w:val="lowerLetter"/>
      <w:lvlText w:val="(%1)"/>
      <w:lvlJc w:val="left"/>
      <w:pPr>
        <w:ind w:left="944" w:hanging="360"/>
      </w:pPr>
      <w:rPr>
        <w:rFonts w:hint="default"/>
      </w:rPr>
    </w:lvl>
    <w:lvl w:ilvl="1" w:tplc="6058920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141573"/>
    <w:multiLevelType w:val="hybridMultilevel"/>
    <w:tmpl w:val="17021150"/>
    <w:lvl w:ilvl="0" w:tplc="0C09000F">
      <w:start w:val="1"/>
      <w:numFmt w:val="decimal"/>
      <w:lvlText w:val="%1."/>
      <w:lvlJc w:val="left"/>
      <w:pPr>
        <w:ind w:left="944" w:hanging="360"/>
      </w:pPr>
    </w:lvl>
    <w:lvl w:ilvl="1" w:tplc="0C090019" w:tentative="1">
      <w:start w:val="1"/>
      <w:numFmt w:val="lowerLetter"/>
      <w:lvlText w:val="%2."/>
      <w:lvlJc w:val="left"/>
      <w:pPr>
        <w:ind w:left="1664" w:hanging="360"/>
      </w:pPr>
    </w:lvl>
    <w:lvl w:ilvl="2" w:tplc="0C09001B" w:tentative="1">
      <w:start w:val="1"/>
      <w:numFmt w:val="lowerRoman"/>
      <w:lvlText w:val="%3."/>
      <w:lvlJc w:val="right"/>
      <w:pPr>
        <w:ind w:left="2384" w:hanging="180"/>
      </w:pPr>
    </w:lvl>
    <w:lvl w:ilvl="3" w:tplc="0C09000F" w:tentative="1">
      <w:start w:val="1"/>
      <w:numFmt w:val="decimal"/>
      <w:lvlText w:val="%4."/>
      <w:lvlJc w:val="left"/>
      <w:pPr>
        <w:ind w:left="3104" w:hanging="360"/>
      </w:pPr>
    </w:lvl>
    <w:lvl w:ilvl="4" w:tplc="0C090019" w:tentative="1">
      <w:start w:val="1"/>
      <w:numFmt w:val="lowerLetter"/>
      <w:lvlText w:val="%5."/>
      <w:lvlJc w:val="left"/>
      <w:pPr>
        <w:ind w:left="3824" w:hanging="360"/>
      </w:pPr>
    </w:lvl>
    <w:lvl w:ilvl="5" w:tplc="0C09001B" w:tentative="1">
      <w:start w:val="1"/>
      <w:numFmt w:val="lowerRoman"/>
      <w:lvlText w:val="%6."/>
      <w:lvlJc w:val="right"/>
      <w:pPr>
        <w:ind w:left="4544" w:hanging="180"/>
      </w:pPr>
    </w:lvl>
    <w:lvl w:ilvl="6" w:tplc="0C09000F" w:tentative="1">
      <w:start w:val="1"/>
      <w:numFmt w:val="decimal"/>
      <w:lvlText w:val="%7."/>
      <w:lvlJc w:val="left"/>
      <w:pPr>
        <w:ind w:left="5264" w:hanging="360"/>
      </w:pPr>
    </w:lvl>
    <w:lvl w:ilvl="7" w:tplc="0C090019" w:tentative="1">
      <w:start w:val="1"/>
      <w:numFmt w:val="lowerLetter"/>
      <w:lvlText w:val="%8."/>
      <w:lvlJc w:val="left"/>
      <w:pPr>
        <w:ind w:left="5984" w:hanging="360"/>
      </w:pPr>
    </w:lvl>
    <w:lvl w:ilvl="8" w:tplc="0C09001B" w:tentative="1">
      <w:start w:val="1"/>
      <w:numFmt w:val="lowerRoman"/>
      <w:lvlText w:val="%9."/>
      <w:lvlJc w:val="right"/>
      <w:pPr>
        <w:ind w:left="6704" w:hanging="180"/>
      </w:pPr>
    </w:lvl>
  </w:abstractNum>
  <w:abstractNum w:abstractNumId="5" w15:restartNumberingAfterBreak="0">
    <w:nsid w:val="7766682A"/>
    <w:multiLevelType w:val="hybridMultilevel"/>
    <w:tmpl w:val="72B027B0"/>
    <w:lvl w:ilvl="0" w:tplc="7662F8FC">
      <w:start w:val="1"/>
      <w:numFmt w:val="decimal"/>
      <w:lvlText w:val="%1."/>
      <w:lvlJc w:val="left"/>
      <w:pPr>
        <w:ind w:left="716" w:hanging="492"/>
      </w:pPr>
      <w:rPr>
        <w:rFonts w:hint="default"/>
      </w:rPr>
    </w:lvl>
    <w:lvl w:ilvl="1" w:tplc="0C090019" w:tentative="1">
      <w:start w:val="1"/>
      <w:numFmt w:val="lowerLetter"/>
      <w:lvlText w:val="%2."/>
      <w:lvlJc w:val="left"/>
      <w:pPr>
        <w:ind w:left="1304" w:hanging="360"/>
      </w:pPr>
    </w:lvl>
    <w:lvl w:ilvl="2" w:tplc="0C09001B" w:tentative="1">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num w:numId="1" w16cid:durableId="412817959">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2" w16cid:durableId="1206210166">
    <w:abstractNumId w:val="5"/>
  </w:num>
  <w:num w:numId="3" w16cid:durableId="1687824942">
    <w:abstractNumId w:val="4"/>
  </w:num>
  <w:num w:numId="4" w16cid:durableId="664434380">
    <w:abstractNumId w:val="1"/>
  </w:num>
  <w:num w:numId="5" w16cid:durableId="2117364701">
    <w:abstractNumId w:val="3"/>
  </w:num>
  <w:num w:numId="6" w16cid:durableId="206297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32"/>
    <w:rsid w:val="003524FE"/>
    <w:rsid w:val="00402D70"/>
    <w:rsid w:val="00523975"/>
    <w:rsid w:val="00702C4F"/>
    <w:rsid w:val="00924B2D"/>
    <w:rsid w:val="009C7FC9"/>
    <w:rsid w:val="00C06DB3"/>
    <w:rsid w:val="00D4484D"/>
    <w:rsid w:val="00D52A06"/>
    <w:rsid w:val="00F148F8"/>
    <w:rsid w:val="00F3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F810"/>
  <w15:chartTrackingRefBased/>
  <w15:docId w15:val="{A08B39A7-F0C1-4759-A217-57230E04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32"/>
    <w:pPr>
      <w:spacing w:before="120" w:after="120" w:line="360" w:lineRule="auto"/>
    </w:pPr>
    <w:rPr>
      <w:rFonts w:ascii="Arial" w:eastAsia="Times New Roman" w:hAnsi="Arial" w:cs="Times New Roman"/>
      <w:szCs w:val="24"/>
    </w:rPr>
  </w:style>
  <w:style w:type="paragraph" w:styleId="Heading1">
    <w:name w:val="heading 1"/>
    <w:basedOn w:val="Normal"/>
    <w:next w:val="Normal"/>
    <w:link w:val="Heading1Char"/>
    <w:qFormat/>
    <w:rsid w:val="00F35B32"/>
    <w:pPr>
      <w:keepNext/>
      <w:spacing w:line="240" w:lineRule="auto"/>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B32"/>
    <w:rPr>
      <w:rFonts w:ascii="Arial" w:eastAsia="Times New Roman" w:hAnsi="Arial" w:cs="Arial"/>
      <w:b/>
      <w:bCs/>
      <w:kern w:val="32"/>
      <w:sz w:val="28"/>
      <w:szCs w:val="32"/>
    </w:rPr>
  </w:style>
  <w:style w:type="paragraph" w:styleId="Header">
    <w:name w:val="header"/>
    <w:basedOn w:val="Normal"/>
    <w:link w:val="HeaderChar"/>
    <w:uiPriority w:val="99"/>
    <w:unhideWhenUsed/>
    <w:rsid w:val="00F35B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5B32"/>
    <w:rPr>
      <w:rFonts w:ascii="Arial" w:eastAsia="Times New Roman" w:hAnsi="Arial" w:cs="Times New Roman"/>
      <w:szCs w:val="24"/>
    </w:rPr>
  </w:style>
  <w:style w:type="paragraph" w:styleId="Footer">
    <w:name w:val="footer"/>
    <w:basedOn w:val="Normal"/>
    <w:link w:val="FooterChar"/>
    <w:uiPriority w:val="99"/>
    <w:unhideWhenUsed/>
    <w:rsid w:val="00F35B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5B32"/>
    <w:rPr>
      <w:rFonts w:ascii="Arial" w:eastAsia="Times New Roman" w:hAnsi="Arial" w:cs="Times New Roman"/>
      <w:szCs w:val="24"/>
    </w:rPr>
  </w:style>
  <w:style w:type="paragraph" w:styleId="ListParagraph">
    <w:name w:val="List Paragraph"/>
    <w:basedOn w:val="Normal"/>
    <w:uiPriority w:val="1"/>
    <w:qFormat/>
    <w:rsid w:val="009C7FC9"/>
    <w:pPr>
      <w:widowControl w:val="0"/>
      <w:autoSpaceDE w:val="0"/>
      <w:autoSpaceDN w:val="0"/>
      <w:spacing w:before="0" w:after="0" w:line="240" w:lineRule="auto"/>
      <w:ind w:left="820" w:hanging="720"/>
      <w:jc w:val="both"/>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866">
      <w:bodyDiv w:val="1"/>
      <w:marLeft w:val="0"/>
      <w:marRight w:val="0"/>
      <w:marTop w:val="0"/>
      <w:marBottom w:val="0"/>
      <w:divBdr>
        <w:top w:val="none" w:sz="0" w:space="0" w:color="auto"/>
        <w:left w:val="none" w:sz="0" w:space="0" w:color="auto"/>
        <w:bottom w:val="none" w:sz="0" w:space="0" w:color="auto"/>
        <w:right w:val="none" w:sz="0" w:space="0" w:color="auto"/>
      </w:divBdr>
    </w:div>
    <w:div w:id="3121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Wu</dc:creator>
  <cp:keywords/>
  <dc:description/>
  <cp:lastModifiedBy>Liam Nicholas</cp:lastModifiedBy>
  <cp:revision>4</cp:revision>
  <dcterms:created xsi:type="dcterms:W3CDTF">2024-03-21T04:54:00Z</dcterms:created>
  <dcterms:modified xsi:type="dcterms:W3CDTF">2024-03-21T05:05:00Z</dcterms:modified>
</cp:coreProperties>
</file>